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Statement of Applicability</w:t>
      </w:r>
    </w:p>
    <w:p>
      <w:pPr>
        <w:spacing w:after="120"/>
      </w:pPr>
      <w:r>
        <w:t xml:space="preserve">For each control area, record whether it applies, why, who owns it, its status, and where the evidence lives.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60"/>
        <w:gridCol w:w="1560"/>
        <w:gridCol w:w="1560"/>
        <w:gridCol w:w="1560"/>
        <w:gridCol w:w="1560"/>
        <w:gridCol w:w="1560"/>
      </w:tblGrid>
      <w:tr>
        <w:trPr>
          <w:tblHeader/>
        </w:trPr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shd w:fill="E7F4FC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1D315F"/>
                <w:sz w:val="17"/>
                <w:szCs w:val="17"/>
              </w:rPr>
              <w:t xml:space="preserve">Control area</w:t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shd w:fill="E7F4FC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1D315F"/>
                <w:sz w:val="17"/>
                <w:szCs w:val="17"/>
              </w:rPr>
              <w:t xml:space="preserve">Applicable (Y/N)</w:t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shd w:fill="E7F4FC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1D315F"/>
                <w:sz w:val="17"/>
                <w:szCs w:val="17"/>
              </w:rPr>
              <w:t xml:space="preserve">Justification</w:t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shd w:fill="E7F4FC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1D315F"/>
                <w:sz w:val="17"/>
                <w:szCs w:val="17"/>
              </w:rPr>
              <w:t xml:space="preserve">Owner</w:t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shd w:fill="E7F4FC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1D315F"/>
                <w:sz w:val="17"/>
                <w:szCs w:val="17"/>
              </w:rPr>
              <w:t xml:space="preserve">Status</w:t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shd w:fill="E7F4FC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/>
                <w:bCs/>
                <w:color w:val="1D315F"/>
                <w:sz w:val="17"/>
                <w:szCs w:val="17"/>
              </w:rPr>
              <w:t xml:space="preserve">Evidence reference</w:t>
            </w:r>
          </w:p>
        </w:tc>
      </w:tr>
      <w:tr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AI policies</w:t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Y</w:t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Internal organisation</w:t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Y</w:t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Resources</w:t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Y</w:t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Impact assessment</w:t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Y</w:t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AI system lifecycle</w:t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Y</w:t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Data for AI systems</w:t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Y</w:t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Information for interested parties</w:t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Y</w:t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Responsible use of AI</w:t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Y</w:t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Third-party relationships</w:t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Y</w:t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D4DEF0" w:sz="1"/>
              <w:left w:val="single" w:color="D4DEF0" w:sz="1"/>
              <w:bottom w:val="single" w:color="D4DEF0" w:sz="1"/>
              <w:right w:val="single" w:color="D4DEF0" w:sz="1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A6286"/>
        <w:sz w:val="15"/>
        <w:szCs w:val="15"/>
      </w:rPr>
      <w:t xml:space="preserve">Starter template — adapt to your context. Not legal advice.   ·   Page </w:t>
    </w:r>
    <w:r>
      <w:rPr>
        <w:color w:val="5A6286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4DEF0" w:sz="4" w:space="6"/>
      </w:pBdr>
      <w:spacing w:after="0"/>
      <w:jc w:val="left"/>
    </w:pPr>
    <w:r>
      <w:drawing>
        <wp:inline distT="0" distB="0" distL="0" distR="0">
          <wp:extent cx="1428750" cy="2476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247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60"/>
    </w:pPr>
    <w:rPr>
      <w:rFonts w:ascii="Arial" w:cs="Arial" w:eastAsia="Arial" w:hAnsi="Arial"/>
      <w:b/>
      <w:bCs/>
      <w:color w:val="1D315F"/>
      <w:sz w:val="40"/>
      <w:szCs w:val="40"/>
    </w:rPr>
  </w:style>
  <w:style w:type="paragraph" w:styleId="Heading1">
    <w:name w:val="Heading 1"/>
    <w:basedOn w:val="Normal"/>
    <w:next w:val="Normal"/>
    <w:qFormat/>
    <w:pPr>
      <w:spacing w:after="90" w:before="240"/>
      <w:outlineLvl w:val="0"/>
    </w:pPr>
    <w:rPr>
      <w:rFonts w:ascii="Arial" w:cs="Arial" w:eastAsia="Arial" w:hAnsi="Arial"/>
      <w:b/>
      <w:bCs/>
      <w:color w:val="155298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056f9a5fc7e6c995f0dba4ae212c72122830a7b0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2026-06-29T03:38:07.708Z</dcterms:created>
  <dcterms:modified xsi:type="dcterms:W3CDTF">2026-06-29T03:38:07.708Z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