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AI Governance — Board Reporting Pack</w:t>
      </w:r>
    </w:p>
    <w:p>
      <w:pPr>
        <w:pBdr>
          <w:bottom w:val="single" w:color="155298" w:sz="6" w:space="6"/>
        </w:pBdr>
        <w:spacing w:after="170"/>
      </w:pPr>
      <w:r>
        <w:rPr>
          <w:color w:val="5A6286"/>
          <w:sz w:val="18"/>
          <w:szCs w:val="18"/>
        </w:rPr>
        <w:t xml:space="preserve">Reporting period: [date]   ·   Prepared by: [AI governance lead]</w:t>
      </w:r>
    </w:p>
    <w:p>
      <w:pPr>
        <w:pStyle w:val="Heading1"/>
      </w:pPr>
      <w:r>
        <w:t xml:space="preserve">1. Executive summary</w:t>
      </w:r>
    </w:p>
    <w:p>
      <w:pPr>
        <w:spacing w:after="120"/>
      </w:pPr>
      <w:r>
        <w:t xml:space="preserve">Three lines: posture, the biggest change this period, and the decisions needed.</w:t>
      </w:r>
    </w:p>
    <w:p>
      <w:pPr>
        <w:pStyle w:val="Heading1"/>
      </w:pPr>
      <w:r>
        <w:t xml:space="preserve">2. Portfolio snapshot</w:t>
      </w:r>
    </w:p>
    <w:p>
      <w:pPr>
        <w:spacing w:after="120"/>
      </w:pPr>
      <w:r>
        <w:t xml:space="preserve">Number of AI systems by risk tier; new, changed and retired this period.</w:t>
      </w:r>
    </w:p>
    <w:p>
      <w:pPr>
        <w:pStyle w:val="Heading1"/>
      </w:pPr>
      <w:r>
        <w:t xml:space="preserve">3. Risk and incidents</w:t>
      </w:r>
    </w:p>
    <w:p>
      <w:pPr>
        <w:spacing w:after="120"/>
      </w:pPr>
      <w:r>
        <w:t xml:space="preserve">Top AI risks and their movement; incidents and near-misses; residual risks accepted.</w:t>
      </w:r>
    </w:p>
    <w:p>
      <w:pPr>
        <w:pStyle w:val="Heading1"/>
      </w:pPr>
      <w:r>
        <w:t xml:space="preserve">4. Assurance</w:t>
      </w:r>
    </w:p>
    <w:p>
      <w:pPr>
        <w:spacing w:after="120"/>
      </w:pPr>
      <w:r>
        <w:t xml:space="preserve">Control status; internal-audit findings; certification progress.</w:t>
      </w:r>
    </w:p>
    <w:p>
      <w:pPr>
        <w:pStyle w:val="Heading1"/>
      </w:pPr>
      <w:r>
        <w:t xml:space="preserve">5. Regulatory horizon</w:t>
      </w:r>
    </w:p>
    <w:p>
      <w:pPr>
        <w:spacing w:after="120"/>
      </w:pPr>
      <w:r>
        <w:t xml:space="preserve">Upcoming obligations and their impact (for example, EU AI Act milestones).</w:t>
      </w:r>
    </w:p>
    <w:p>
      <w:pPr>
        <w:pStyle w:val="Heading1"/>
      </w:pPr>
      <w:r>
        <w:t xml:space="preserve">6. Maturity</w:t>
      </w:r>
    </w:p>
    <w:p>
      <w:pPr>
        <w:spacing w:after="120"/>
      </w:pPr>
      <w:r>
        <w:t xml:space="preserve">Current governance maturity profile and movement against target.</w:t>
      </w:r>
    </w:p>
    <w:p>
      <w:pPr>
        <w:pStyle w:val="Heading1"/>
      </w:pPr>
      <w:r>
        <w:t xml:space="preserve">7. Decisions requested</w:t>
      </w:r>
    </w:p>
    <w:p>
      <w:pPr>
        <w:spacing w:after="120"/>
      </w:pPr>
      <w:r>
        <w:t xml:space="preserve">Items requiring board approval or risk acceptance.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A6286"/>
        <w:sz w:val="15"/>
        <w:szCs w:val="15"/>
      </w:rPr>
      <w:t xml:space="preserve">Starter template — adapt to your context. Not legal advice.   ·   Page </w:t>
    </w:r>
    <w:r>
      <w:rPr>
        <w:color w:val="5A6286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4DEF0" w:sz="4" w:space="6"/>
      </w:pBdr>
      <w:spacing w:after="0"/>
      <w:jc w:val="left"/>
    </w:pPr>
    <w:r>
      <w:drawing>
        <wp:inline distT="0" distB="0" distL="0" distR="0">
          <wp:extent cx="1428750" cy="2476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247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qFormat/>
    <w:pPr>
      <w:spacing w:after="60"/>
    </w:pPr>
    <w:rPr>
      <w:rFonts w:ascii="Arial" w:cs="Arial" w:eastAsia="Arial" w:hAnsi="Arial"/>
      <w:b/>
      <w:bCs/>
      <w:color w:val="1D315F"/>
      <w:sz w:val="40"/>
      <w:szCs w:val="40"/>
    </w:rPr>
  </w:style>
  <w:style w:type="paragraph" w:styleId="Heading1">
    <w:name w:val="Heading 1"/>
    <w:basedOn w:val="Normal"/>
    <w:next w:val="Normal"/>
    <w:qFormat/>
    <w:pPr>
      <w:spacing w:after="90" w:before="240"/>
      <w:outlineLvl w:val="0"/>
    </w:pPr>
    <w:rPr>
      <w:rFonts w:ascii="Arial" w:cs="Arial" w:eastAsia="Arial" w:hAnsi="Arial"/>
      <w:b/>
      <w:bCs/>
      <w:color w:val="155298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56f9a5fc7e6c995f0dba4ae212c72122830a7b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2026-06-29T03:38:07.718Z</dcterms:created>
  <dcterms:modified xsi:type="dcterms:W3CDTF">2026-06-29T03:38:07.718Z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