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AI Policy</w:t>
      </w:r>
    </w:p>
    <w:p>
      <w:pPr>
        <w:pBdr>
          <w:bottom w:val="single" w:color="155298" w:sz="6" w:space="6"/>
        </w:pBdr>
        <w:spacing w:after="170"/>
      </w:pPr>
      <w:r>
        <w:rPr>
          <w:color w:val="5A6286"/>
          <w:sz w:val="18"/>
          <w:szCs w:val="18"/>
        </w:rPr>
        <w:t xml:space="preserve">[Organisation name]   ·   Version 0.1 (draft)   ·   Owner: [Accountable executive]   ·   Review date: [date]</w:t>
      </w:r>
    </w:p>
    <w:p>
      <w:pPr>
        <w:pStyle w:val="Heading1"/>
      </w:pPr>
      <w:r>
        <w:t xml:space="preserve">1. Purpose</w:t>
      </w:r>
    </w:p>
    <w:p>
      <w:pPr>
        <w:spacing w:after="120"/>
      </w:pPr>
      <w:r>
        <w:t xml:space="preserve">Why this policy exists and what it commits the organisation to.</w:t>
      </w:r>
    </w:p>
    <w:p>
      <w:pPr>
        <w:pStyle w:val="Heading1"/>
      </w:pPr>
      <w:r>
        <w:t xml:space="preserve">2. Scope</w:t>
      </w:r>
    </w:p>
    <w:p>
      <w:pPr>
        <w:spacing w:after="120"/>
      </w:pPr>
      <w:r>
        <w:t xml:space="preserve">Which parts of the organisation, and which AI systems, agents and automated workflows, this policy covers.</w:t>
      </w:r>
    </w:p>
    <w:p>
      <w:pPr>
        <w:pStyle w:val="Heading1"/>
      </w:pPr>
      <w:r>
        <w:t xml:space="preserve">3. Principles</w:t>
      </w:r>
    </w:p>
    <w:p>
      <w:pPr>
        <w:pStyle w:val="ListParagraph"/>
        <w:numPr>
          <w:ilvl w:val="0"/>
          <w:numId w:val="2"/>
        </w:numPr>
        <w:spacing w:after="40"/>
      </w:pPr>
      <w:r>
        <w:t xml:space="preserve">Accountable: a named human owns every AI system in use.</w:t>
      </w:r>
    </w:p>
    <w:p>
      <w:pPr>
        <w:pStyle w:val="ListParagraph"/>
        <w:numPr>
          <w:ilvl w:val="0"/>
          <w:numId w:val="2"/>
        </w:numPr>
        <w:spacing w:after="40"/>
      </w:pPr>
      <w:r>
        <w:t xml:space="preserve">Lawful and ethical: AI use complies with applicable law and our values.</w:t>
      </w:r>
    </w:p>
    <w:p>
      <w:pPr>
        <w:pStyle w:val="ListParagraph"/>
        <w:numPr>
          <w:ilvl w:val="0"/>
          <w:numId w:val="2"/>
        </w:numPr>
        <w:spacing w:after="40"/>
      </w:pPr>
      <w:r>
        <w:t xml:space="preserve">Transparent: people are told when AI affects them.</w:t>
      </w:r>
    </w:p>
    <w:p>
      <w:pPr>
        <w:pStyle w:val="ListParagraph"/>
        <w:numPr>
          <w:ilvl w:val="0"/>
          <w:numId w:val="2"/>
        </w:numPr>
        <w:spacing w:after="40"/>
      </w:pPr>
      <w:r>
        <w:t xml:space="preserve">Fair: outcomes are checked for harmful bias.</w:t>
      </w:r>
    </w:p>
    <w:p>
      <w:pPr>
        <w:pStyle w:val="ListParagraph"/>
        <w:numPr>
          <w:ilvl w:val="0"/>
          <w:numId w:val="2"/>
        </w:numPr>
        <w:spacing w:after="40"/>
      </w:pPr>
      <w:r>
        <w:t xml:space="preserve">Safe and secure: systems are tested and protected before and during use.</w:t>
      </w:r>
    </w:p>
    <w:p>
      <w:pPr>
        <w:pStyle w:val="ListParagraph"/>
        <w:numPr>
          <w:ilvl w:val="0"/>
          <w:numId w:val="2"/>
        </w:numPr>
        <w:spacing w:after="40"/>
      </w:pPr>
      <w:r>
        <w:t xml:space="preserve">Human oversight: a person can understand, intervene and stop the system.</w:t>
      </w:r>
    </w:p>
    <w:p>
      <w:pPr>
        <w:pStyle w:val="Heading1"/>
      </w:pPr>
      <w:r>
        <w:t xml:space="preserve">4. Risk appetite</w:t>
      </w:r>
    </w:p>
    <w:p>
      <w:pPr>
        <w:spacing w:after="120"/>
      </w:pPr>
      <w:r>
        <w:t xml:space="preserve">The types and level of AI risk the organisation will and will not accept, including the limits on AI autonomy.</w:t>
      </w:r>
    </w:p>
    <w:p>
      <w:pPr>
        <w:pStyle w:val="Heading1"/>
      </w:pPr>
      <w:r>
        <w:t xml:space="preserve">5. Roles and responsibilities</w:t>
      </w:r>
    </w:p>
    <w:p>
      <w:pPr>
        <w:spacing w:after="120"/>
      </w:pPr>
      <w:r>
        <w:t xml:space="preserve">Board, accountable executive, AI governance lead, risk and assurance, system owners and domain experts. See the RACI / accountability map.</w:t>
      </w:r>
    </w:p>
    <w:p>
      <w:pPr>
        <w:pStyle w:val="Heading1"/>
      </w:pPr>
      <w:r>
        <w:t xml:space="preserve">6. Red lines — uses we will not pursue</w:t>
      </w:r>
    </w:p>
    <w:p>
      <w:pPr>
        <w:spacing w:after="120"/>
      </w:pPr>
      <w:r>
        <w:t xml:space="preserve">[List prohibited or out-of-appetite uses.]</w:t>
      </w:r>
    </w:p>
    <w:p>
      <w:pPr>
        <w:pStyle w:val="Heading1"/>
      </w:pPr>
      <w:r>
        <w:t xml:space="preserve">7. Lifecycle requirements</w:t>
      </w:r>
    </w:p>
    <w:p>
      <w:pPr>
        <w:spacing w:after="120"/>
      </w:pPr>
      <w:r>
        <w:t xml:space="preserve">Controls and evidence at each stage: inception, design, development, verification, deployment, operation and retirement.</w:t>
      </w:r>
    </w:p>
    <w:p>
      <w:pPr>
        <w:pStyle w:val="Heading1"/>
      </w:pPr>
      <w:r>
        <w:t xml:space="preserve">8. Third parties</w:t>
      </w:r>
    </w:p>
    <w:p>
      <w:pPr>
        <w:spacing w:after="120"/>
      </w:pPr>
      <w:r>
        <w:t xml:space="preserve">Requirements for AI capabilities, data and services obtained from suppliers and partners.</w:t>
      </w:r>
    </w:p>
    <w:p>
      <w:pPr>
        <w:pStyle w:val="Heading1"/>
      </w:pPr>
      <w:r>
        <w:t xml:space="preserve">9. Compliance and review</w:t>
      </w:r>
    </w:p>
    <w:p>
      <w:pPr>
        <w:spacing w:after="120"/>
      </w:pPr>
      <w:r>
        <w:t xml:space="preserve">How conformance is monitored, who reviews this policy, and how often.</w:t>
      </w:r>
    </w:p>
    <w:sectPr>
      <w:headerReference w:type="default" r:id="rId7"/>
      <w:footerReference w:type="default" r:id="rId8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color w:val="5A6286"/>
        <w:sz w:val="15"/>
        <w:szCs w:val="15"/>
      </w:rPr>
      <w:t xml:space="preserve">Starter template — adapt to your context. Not legal advice.   ·   Page </w:t>
    </w:r>
    <w:r>
      <w:rPr>
        <w:color w:val="5A6286"/>
        <w:sz w:val="15"/>
        <w:szCs w:val="15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D4DEF0" w:sz="4" w:space="6"/>
      </w:pBdr>
      <w:spacing w:after="0"/>
      <w:jc w:val="left"/>
    </w:pPr>
    <w:r>
      <w:drawing>
        <wp:inline distT="0" distB="0" distL="0" distR="0">
          <wp:extent cx="1428750" cy="247650"/>
          <wp:effectExtent t="0" r="0" b="0" l="0"/>
          <wp:docPr id="1" name="" descr="" title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8750" cy="2476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460" w:hanging="2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Title">
    <w:name w:val="Title"/>
    <w:basedOn w:val="Normal"/>
    <w:next w:val="Normal"/>
    <w:qFormat/>
    <w:pPr>
      <w:spacing w:after="60"/>
    </w:pPr>
    <w:rPr>
      <w:rFonts w:ascii="Arial" w:cs="Arial" w:eastAsia="Arial" w:hAnsi="Arial"/>
      <w:b/>
      <w:bCs/>
      <w:color w:val="1D315F"/>
      <w:sz w:val="40"/>
      <w:szCs w:val="40"/>
    </w:rPr>
  </w:style>
  <w:style w:type="paragraph" w:styleId="Heading1">
    <w:name w:val="Heading 1"/>
    <w:basedOn w:val="Normal"/>
    <w:next w:val="Normal"/>
    <w:qFormat/>
    <w:pPr>
      <w:spacing w:after="90" w:before="240"/>
      <w:outlineLvl w:val="0"/>
    </w:pPr>
    <w:rPr>
      <w:rFonts w:ascii="Arial" w:cs="Arial" w:eastAsia="Arial" w:hAnsi="Arial"/>
      <w:b/>
      <w:bCs/>
      <w:color w:val="155298"/>
      <w:sz w:val="25"/>
      <w:szCs w:val="25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><Relationship Id="rId0" Type="http://schemas.openxmlformats.org/officeDocument/2006/relationships/image" Target="media/056f9a5fc7e6c995f0dba4ae212c72122830a7b0.png"/></Relationships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2026-06-29T03:38:07.682Z</dcterms:created>
  <dcterms:modified xsi:type="dcterms:W3CDTF">2026-06-29T03:38:07.682Z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