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AI Impact Assessment</w:t>
      </w:r>
    </w:p>
    <w:p>
      <w:pPr>
        <w:pBdr>
          <w:bottom w:val="single" w:color="155298" w:sz="6" w:space="6"/>
        </w:pBdr>
        <w:spacing w:after="170"/>
      </w:pPr>
      <w:r>
        <w:rPr>
          <w:color w:val="5A6286"/>
          <w:sz w:val="18"/>
          <w:szCs w:val="18"/>
        </w:rPr>
        <w:t xml:space="preserve">[System name]   ·   Owner: [name]   ·   Date: [date]   ·   Risk tier: [low / limited / high]</w:t>
      </w:r>
    </w:p>
    <w:p>
      <w:pPr>
        <w:pStyle w:val="Heading1"/>
      </w:pPr>
      <w:r>
        <w:t xml:space="preserve">1. System description</w:t>
      </w:r>
    </w:p>
    <w:p>
      <w:pPr>
        <w:spacing w:after="120"/>
      </w:pPr>
      <w:r>
        <w:t xml:space="preserve">What the system does, who uses it, and the decision it informs or makes.</w:t>
      </w:r>
    </w:p>
    <w:p>
      <w:pPr>
        <w:pStyle w:val="Heading1"/>
      </w:pPr>
      <w:r>
        <w:t xml:space="preserve">2. Affected stakeholders</w:t>
      </w:r>
    </w:p>
    <w:p>
      <w:pPr>
        <w:spacing w:after="120"/>
      </w:pPr>
      <w:r>
        <w:t xml:space="preserve">Individuals and groups affected, including vulnerable groups.</w:t>
      </w:r>
    </w:p>
    <w:p>
      <w:pPr>
        <w:pStyle w:val="Heading1"/>
      </w:pPr>
      <w:r>
        <w:t xml:space="preserve">3. Potential impacts</w:t>
      </w:r>
    </w:p>
    <w:p>
      <w:pPr>
        <w:pStyle w:val="ListParagraph"/>
        <w:numPr>
          <w:ilvl w:val="0"/>
          <w:numId w:val="2"/>
        </w:numPr>
        <w:spacing w:after="40"/>
      </w:pPr>
      <w:r>
        <w:t xml:space="preserve">Benefits:</w:t>
      </w:r>
    </w:p>
    <w:p>
      <w:pPr>
        <w:pStyle w:val="ListParagraph"/>
        <w:numPr>
          <w:ilvl w:val="0"/>
          <w:numId w:val="2"/>
        </w:numPr>
        <w:spacing w:after="40"/>
      </w:pPr>
      <w:r>
        <w:t xml:space="preserve">Harms (individual):</w:t>
      </w:r>
    </w:p>
    <w:p>
      <w:pPr>
        <w:pStyle w:val="ListParagraph"/>
        <w:numPr>
          <w:ilvl w:val="0"/>
          <w:numId w:val="2"/>
        </w:numPr>
        <w:spacing w:after="40"/>
      </w:pPr>
      <w:r>
        <w:t xml:space="preserve">Harms (group / societal):</w:t>
      </w:r>
    </w:p>
    <w:p>
      <w:pPr>
        <w:pStyle w:val="ListParagraph"/>
        <w:numPr>
          <w:ilvl w:val="0"/>
          <w:numId w:val="2"/>
        </w:numPr>
        <w:spacing w:after="40"/>
      </w:pPr>
      <w:r>
        <w:t xml:space="preserve">Rights and freedoms affected:</w:t>
      </w:r>
    </w:p>
    <w:p>
      <w:pPr>
        <w:pStyle w:val="Heading1"/>
      </w:pPr>
      <w:r>
        <w:t xml:space="preserve">4. Likelihood and severity</w:t>
      </w:r>
    </w:p>
    <w:p>
      <w:pPr>
        <w:spacing w:after="120"/>
      </w:pPr>
      <w:r>
        <w:t xml:space="preserve">Assessment of each impact before mitigation.</w:t>
      </w:r>
    </w:p>
    <w:p>
      <w:pPr>
        <w:pStyle w:val="Heading1"/>
      </w:pPr>
      <w:r>
        <w:t xml:space="preserve">5. Mitigations</w:t>
      </w:r>
    </w:p>
    <w:p>
      <w:pPr>
        <w:spacing w:after="120"/>
      </w:pPr>
      <w:r>
        <w:t xml:space="preserve">Controls applied to reduce each impact, with owners.</w:t>
      </w:r>
    </w:p>
    <w:p>
      <w:pPr>
        <w:pStyle w:val="Heading1"/>
      </w:pPr>
      <w:r>
        <w:t xml:space="preserve">6. Residual impact and decision</w:t>
      </w:r>
    </w:p>
    <w:p>
      <w:pPr>
        <w:spacing w:after="120"/>
      </w:pPr>
      <w:r>
        <w:t xml:space="preserve">Remaining impact after mitigation, and the accountable owner's decision: proceed / proceed with conditions / do not proceed.</w:t>
      </w:r>
    </w:p>
    <w:p>
      <w:pPr>
        <w:pStyle w:val="Heading1"/>
      </w:pPr>
      <w:r>
        <w:t xml:space="preserve">7. Review</w:t>
      </w:r>
    </w:p>
    <w:p>
      <w:pPr>
        <w:spacing w:after="120"/>
      </w:pPr>
      <w:r>
        <w:t xml:space="preserve">When this assessment will be revisited.</w:t>
      </w:r>
    </w:p>
    <w:sectPr>
      <w:headerReference w:type="default" r:id="rId7"/>
      <w:footerReference w:type="default" r:id="rId8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5A6286"/>
        <w:sz w:val="15"/>
        <w:szCs w:val="15"/>
      </w:rPr>
      <w:t xml:space="preserve">Starter template — adapt to your context. Not legal advice.   ·   Page </w:t>
    </w:r>
    <w:r>
      <w:rPr>
        <w:color w:val="5A6286"/>
        <w:sz w:val="15"/>
        <w:szCs w:val="15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D4DEF0" w:sz="4" w:space="6"/>
      </w:pBdr>
      <w:spacing w:after="0"/>
      <w:jc w:val="left"/>
    </w:pPr>
    <w:r>
      <w:drawing>
        <wp:inline distT="0" distB="0" distL="0" distR="0">
          <wp:extent cx="1428750" cy="247650"/>
          <wp:effectExtent t="0" r="0" b="0" l="0"/>
          <wp:docPr id="1" name="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0" cy="2476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60" w:hanging="2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Title">
    <w:name w:val="Title"/>
    <w:basedOn w:val="Normal"/>
    <w:next w:val="Normal"/>
    <w:qFormat/>
    <w:pPr>
      <w:spacing w:after="60"/>
    </w:pPr>
    <w:rPr>
      <w:rFonts w:ascii="Arial" w:cs="Arial" w:eastAsia="Arial" w:hAnsi="Arial"/>
      <w:b/>
      <w:bCs/>
      <w:color w:val="1D315F"/>
      <w:sz w:val="40"/>
      <w:szCs w:val="40"/>
    </w:rPr>
  </w:style>
  <w:style w:type="paragraph" w:styleId="Heading1">
    <w:name w:val="Heading 1"/>
    <w:basedOn w:val="Normal"/>
    <w:next w:val="Normal"/>
    <w:qFormat/>
    <w:pPr>
      <w:spacing w:after="90" w:before="240"/>
      <w:outlineLvl w:val="0"/>
    </w:pPr>
    <w:rPr>
      <w:rFonts w:ascii="Arial" w:cs="Arial" w:eastAsia="Arial" w:hAnsi="Arial"/>
      <w:b/>
      <w:bCs/>
      <w:color w:val="155298"/>
      <w:sz w:val="25"/>
      <w:szCs w:val="25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056f9a5fc7e6c995f0dba4ae212c72122830a7b0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2026-06-29T03:38:07.711Z</dcterms:created>
  <dcterms:modified xsi:type="dcterms:W3CDTF">2026-06-29T03:38:07.711Z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